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77777777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20356C">
        <w:rPr>
          <w:b/>
        </w:rPr>
        <w:t>4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71F55D74" w:rsidR="00820216" w:rsidRDefault="004C19BC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229AA5D8">
            <wp:simplePos x="0" y="0"/>
            <wp:positionH relativeFrom="column">
              <wp:posOffset>3608705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6BD94F18">
            <wp:simplePos x="0" y="0"/>
            <wp:positionH relativeFrom="column">
              <wp:posOffset>1805305</wp:posOffset>
            </wp:positionH>
            <wp:positionV relativeFrom="paragraph">
              <wp:posOffset>96520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D0"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1232A2E2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0EFF6B9C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</w:t>
      </w:r>
      <w:r w:rsidR="004C19BC">
        <w:t xml:space="preserve"> </w:t>
      </w:r>
      <w:r w:rsidRPr="00820216">
        <w:t xml:space="preserve">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</w:t>
      </w:r>
      <w:r w:rsidR="004C19BC">
        <w:t xml:space="preserve">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3F41E44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>: 2 670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lastRenderedPageBreak/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2B4EAA75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20356C">
        <w:rPr>
          <w:b/>
          <w:bCs/>
        </w:rPr>
        <w:t>4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4C19BC">
      <w:headerReference w:type="default" r:id="rId9"/>
      <w:pgSz w:w="11906" w:h="16838"/>
      <w:pgMar w:top="1134" w:right="1134" w:bottom="1134" w:left="1134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CB7F" w14:textId="77777777" w:rsidR="00BF5480" w:rsidRDefault="00BF5480" w:rsidP="00523E77">
      <w:pPr>
        <w:spacing w:after="0" w:line="240" w:lineRule="auto"/>
      </w:pPr>
      <w:r>
        <w:separator/>
      </w:r>
    </w:p>
  </w:endnote>
  <w:endnote w:type="continuationSeparator" w:id="0">
    <w:p w14:paraId="58FFBF83" w14:textId="77777777" w:rsidR="00BF5480" w:rsidRDefault="00BF5480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FAA7" w14:textId="77777777" w:rsidR="00BF5480" w:rsidRDefault="00BF5480" w:rsidP="00523E77">
      <w:pPr>
        <w:spacing w:after="0" w:line="240" w:lineRule="auto"/>
      </w:pPr>
      <w:r>
        <w:separator/>
      </w:r>
    </w:p>
  </w:footnote>
  <w:footnote w:type="continuationSeparator" w:id="0">
    <w:p w14:paraId="5EEC7787" w14:textId="77777777" w:rsidR="00BF5480" w:rsidRDefault="00BF5480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63B4" w14:textId="0E01C29D" w:rsidR="00F4289D" w:rsidRDefault="00F37F9D" w:rsidP="00F37F9D">
    <w:pPr>
      <w:pStyle w:val="Nagwek"/>
      <w:jc w:val="center"/>
    </w:pPr>
    <w:r>
      <w:rPr>
        <w:noProof/>
      </w:rPr>
      <w:drawing>
        <wp:inline distT="0" distB="0" distL="0" distR="0" wp14:anchorId="7493BA5A" wp14:editId="186B768E">
          <wp:extent cx="4030980" cy="815794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6173" cy="81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20550">
    <w:abstractNumId w:val="1"/>
  </w:num>
  <w:num w:numId="2" w16cid:durableId="1887520057">
    <w:abstractNumId w:val="2"/>
  </w:num>
  <w:num w:numId="3" w16cid:durableId="607932046">
    <w:abstractNumId w:val="0"/>
  </w:num>
  <w:num w:numId="4" w16cid:durableId="20130781">
    <w:abstractNumId w:val="4"/>
  </w:num>
  <w:num w:numId="5" w16cid:durableId="156456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19BC"/>
    <w:rsid w:val="004C7796"/>
    <w:rsid w:val="004D5DC0"/>
    <w:rsid w:val="00523E77"/>
    <w:rsid w:val="00537532"/>
    <w:rsid w:val="0057121E"/>
    <w:rsid w:val="005A40A9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03EA4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BF5480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104FD"/>
    <w:rsid w:val="00E55F70"/>
    <w:rsid w:val="00EC6B7E"/>
    <w:rsid w:val="00EE6345"/>
    <w:rsid w:val="00EF5E8C"/>
    <w:rsid w:val="00F1239D"/>
    <w:rsid w:val="00F37F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Agnieszka Cuch</cp:lastModifiedBy>
  <cp:revision>2</cp:revision>
  <cp:lastPrinted>2017-09-12T09:40:00Z</cp:lastPrinted>
  <dcterms:created xsi:type="dcterms:W3CDTF">2025-02-18T09:14:00Z</dcterms:created>
  <dcterms:modified xsi:type="dcterms:W3CDTF">2025-02-18T09:14:00Z</dcterms:modified>
</cp:coreProperties>
</file>